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230" w:rsidRPr="00FD2230" w:rsidRDefault="00FD2230" w:rsidP="00FD2230">
      <w:pPr>
        <w:pStyle w:val="Header"/>
        <w:spacing w:line="276" w:lineRule="auto"/>
        <w:jc w:val="center"/>
        <w:rPr>
          <w:rFonts w:cstheme="minorHAnsi"/>
          <w:b/>
          <w:sz w:val="28"/>
          <w:szCs w:val="28"/>
        </w:rPr>
      </w:pPr>
      <w:r w:rsidRPr="00FD2230">
        <w:rPr>
          <w:rFonts w:cstheme="minorHAnsi"/>
          <w:b/>
          <w:sz w:val="32"/>
          <w:szCs w:val="32"/>
        </w:rPr>
        <w:t>C</w:t>
      </w:r>
      <w:r w:rsidRPr="00FD2230">
        <w:rPr>
          <w:rFonts w:cstheme="minorHAnsi"/>
          <w:b/>
          <w:sz w:val="32"/>
          <w:szCs w:val="32"/>
        </w:rPr>
        <w:t xml:space="preserve">ommissioner’s Guide to the NCEPOD Report </w:t>
      </w:r>
      <w:r w:rsidRPr="00FD2230">
        <w:rPr>
          <w:rFonts w:cstheme="minorHAnsi"/>
          <w:b/>
          <w:sz w:val="32"/>
          <w:szCs w:val="32"/>
        </w:rPr>
        <w:t xml:space="preserve">- </w:t>
      </w:r>
      <w:r w:rsidRPr="00FD2230">
        <w:rPr>
          <w:rFonts w:cstheme="minorHAnsi"/>
          <w:b/>
          <w:sz w:val="28"/>
          <w:szCs w:val="28"/>
        </w:rPr>
        <w:t xml:space="preserve">‘Know the Score’ </w:t>
      </w:r>
    </w:p>
    <w:p w:rsidR="00FD2230" w:rsidRPr="00FD2230" w:rsidRDefault="00FD2230" w:rsidP="00FD2230">
      <w:pPr>
        <w:pStyle w:val="Header"/>
        <w:spacing w:line="276" w:lineRule="auto"/>
        <w:jc w:val="center"/>
        <w:rPr>
          <w:rFonts w:cstheme="minorHAnsi"/>
          <w:b/>
          <w:sz w:val="28"/>
          <w:szCs w:val="28"/>
        </w:rPr>
      </w:pPr>
      <w:r w:rsidRPr="00FD2230">
        <w:rPr>
          <w:rFonts w:cstheme="minorHAnsi"/>
          <w:b/>
          <w:sz w:val="28"/>
          <w:szCs w:val="28"/>
        </w:rPr>
        <w:t xml:space="preserve"> A review of the care received by patients with a new diagnosis of pulmonary embolism</w:t>
      </w:r>
    </w:p>
    <w:p w:rsidR="00AE0602" w:rsidRPr="00FD2230" w:rsidRDefault="00AE0602" w:rsidP="00FD2230">
      <w:pPr>
        <w:spacing w:after="0" w:line="276" w:lineRule="auto"/>
        <w:rPr>
          <w:rFonts w:cstheme="minorHAnsi"/>
        </w:rPr>
        <w:sectPr w:rsidR="00AE0602" w:rsidRPr="00FD2230">
          <w:headerReference w:type="default" r:id="rId7"/>
          <w:pgSz w:w="11906" w:h="16838"/>
          <w:pgMar w:top="1440" w:right="1440" w:bottom="1440" w:left="1440" w:header="708" w:footer="708" w:gutter="0"/>
          <w:cols w:space="708"/>
          <w:docGrid w:linePitch="360"/>
        </w:sectPr>
      </w:pPr>
    </w:p>
    <w:p w:rsidR="00FD2230" w:rsidRPr="00FD2230" w:rsidRDefault="00FD2230" w:rsidP="00FD2230">
      <w:pPr>
        <w:spacing w:after="0" w:line="276" w:lineRule="auto"/>
        <w:rPr>
          <w:rFonts w:cstheme="minorHAnsi"/>
          <w:b/>
          <w:sz w:val="24"/>
          <w:szCs w:val="24"/>
        </w:rPr>
      </w:pPr>
    </w:p>
    <w:p w:rsidR="00CE78AE" w:rsidRPr="00FD2230" w:rsidRDefault="00AE0602" w:rsidP="00FD2230">
      <w:pPr>
        <w:spacing w:after="0" w:line="276" w:lineRule="auto"/>
        <w:rPr>
          <w:rFonts w:cstheme="minorHAnsi"/>
          <w:b/>
          <w:sz w:val="24"/>
          <w:szCs w:val="24"/>
        </w:rPr>
      </w:pPr>
      <w:r w:rsidRPr="00FD2230">
        <w:rPr>
          <w:rFonts w:cstheme="minorHAnsi"/>
          <w:b/>
          <w:sz w:val="24"/>
          <w:szCs w:val="24"/>
        </w:rPr>
        <w:t>Introduction</w:t>
      </w:r>
    </w:p>
    <w:p w:rsidR="00D1784D" w:rsidRPr="00FD2230" w:rsidRDefault="00B70645" w:rsidP="00FD2230">
      <w:pPr>
        <w:spacing w:after="0" w:line="276" w:lineRule="auto"/>
        <w:rPr>
          <w:rFonts w:cstheme="minorHAnsi"/>
          <w:lang w:val="en-US"/>
        </w:rPr>
      </w:pPr>
      <w:r w:rsidRPr="00FD2230">
        <w:rPr>
          <w:rFonts w:cstheme="minorHAnsi"/>
        </w:rPr>
        <w:t>Despite advances in the ability to prevent, diagnose and treat acute pulmonary embolism (PE) it remains an important cause of morbidity and mortality. Its association with air travel, hospitalisation, active cancer, pregnancy and some chronic conditions is well recognised and involves all age groups, including the young.</w:t>
      </w:r>
      <w:r w:rsidR="00D1784D" w:rsidRPr="00FD2230">
        <w:rPr>
          <w:rFonts w:cstheme="minorHAnsi"/>
        </w:rPr>
        <w:t xml:space="preserve"> </w:t>
      </w:r>
      <w:r w:rsidR="00D1784D" w:rsidRPr="00FD2230">
        <w:rPr>
          <w:rFonts w:cstheme="minorHAnsi"/>
          <w:lang w:val="en-US"/>
        </w:rPr>
        <w:t>Estimates suggest that there are more than 25,000 hospital deaths in the UK each year from venous thromboembolism (VTE) and previous studies have shown that for every diagnosed case of a non-fatal PE there are 2.5 cases of fatal PE that were not diagnosed.</w:t>
      </w:r>
    </w:p>
    <w:p w:rsidR="00B70645" w:rsidRPr="00FD2230" w:rsidRDefault="00B70645" w:rsidP="00FD2230">
      <w:pPr>
        <w:spacing w:after="0" w:line="276" w:lineRule="auto"/>
        <w:rPr>
          <w:rFonts w:cstheme="minorHAnsi"/>
        </w:rPr>
      </w:pPr>
      <w:r w:rsidRPr="00FD2230">
        <w:rPr>
          <w:rFonts w:cstheme="minorHAnsi"/>
        </w:rPr>
        <w:t>Key steps to effective care for patients includes prevention, prompt diagnosis and treatment:</w:t>
      </w:r>
    </w:p>
    <w:p w:rsidR="00B70645" w:rsidRPr="00FD2230" w:rsidRDefault="00B70645" w:rsidP="00FD2230">
      <w:pPr>
        <w:pStyle w:val="ListParagraph"/>
        <w:numPr>
          <w:ilvl w:val="0"/>
          <w:numId w:val="2"/>
        </w:numPr>
        <w:spacing w:after="0" w:line="276" w:lineRule="auto"/>
        <w:rPr>
          <w:rFonts w:cstheme="minorHAnsi"/>
        </w:rPr>
      </w:pPr>
      <w:r w:rsidRPr="00FD2230">
        <w:rPr>
          <w:rFonts w:cstheme="minorHAnsi"/>
        </w:rPr>
        <w:t>Prevention of healthcare-related deep vein thrombosis (DVT) includes the use of anticoagulants or mechanical methods.</w:t>
      </w:r>
    </w:p>
    <w:p w:rsidR="00B70645" w:rsidRPr="00FD2230" w:rsidRDefault="00B70645" w:rsidP="00FD2230">
      <w:pPr>
        <w:pStyle w:val="ListParagraph"/>
        <w:numPr>
          <w:ilvl w:val="0"/>
          <w:numId w:val="2"/>
        </w:numPr>
        <w:spacing w:after="0" w:line="276" w:lineRule="auto"/>
        <w:rPr>
          <w:rFonts w:cstheme="minorHAnsi"/>
        </w:rPr>
      </w:pPr>
      <w:r w:rsidRPr="00FD2230">
        <w:rPr>
          <w:rFonts w:cstheme="minorHAnsi"/>
        </w:rPr>
        <w:t>CT Pulmonary Angiography (CTPA) is commonly used to diagnose PE. However, to be effective this service should be available, promptly in all hospitals, especially out-of-hours.</w:t>
      </w:r>
    </w:p>
    <w:p w:rsidR="00B70645" w:rsidRPr="00FD2230" w:rsidRDefault="00B70645" w:rsidP="00FD2230">
      <w:pPr>
        <w:pStyle w:val="ListParagraph"/>
        <w:numPr>
          <w:ilvl w:val="0"/>
          <w:numId w:val="2"/>
        </w:numPr>
        <w:spacing w:after="0" w:line="276" w:lineRule="auto"/>
        <w:rPr>
          <w:rFonts w:cstheme="minorHAnsi"/>
        </w:rPr>
      </w:pPr>
      <w:r w:rsidRPr="00FD2230">
        <w:rPr>
          <w:rFonts w:cstheme="minorHAnsi"/>
        </w:rPr>
        <w:t>The standard treatment is anticoagulation. The combined recommendations from NICE guideline 144 and Quality Standard 29 recommends that heparin therapy should be started immediately if the time taken to confirm the diagnosis is likely to be more than one hour</w:t>
      </w:r>
    </w:p>
    <w:p w:rsidR="00C50E70" w:rsidRPr="00FD2230" w:rsidRDefault="00C50E70" w:rsidP="00FD2230">
      <w:pPr>
        <w:pStyle w:val="ListParagraph"/>
        <w:numPr>
          <w:ilvl w:val="0"/>
          <w:numId w:val="2"/>
        </w:numPr>
        <w:spacing w:after="0" w:line="276" w:lineRule="auto"/>
        <w:rPr>
          <w:rFonts w:cstheme="minorHAnsi"/>
        </w:rPr>
      </w:pPr>
      <w:r w:rsidRPr="00FD2230">
        <w:rPr>
          <w:rFonts w:cstheme="minorHAnsi"/>
        </w:rPr>
        <w:t>To aid safe and effective treatment it is possible to estimate the risk of adverse outcomes of PE, following diagnosis, using prediction tools like the Pulmonary Embolism Severity Index (PESI)</w:t>
      </w:r>
    </w:p>
    <w:p w:rsidR="00AE0602" w:rsidRPr="00FD2230" w:rsidRDefault="00FD2230" w:rsidP="00FD2230">
      <w:pPr>
        <w:spacing w:after="0" w:line="276" w:lineRule="auto"/>
        <w:rPr>
          <w:rFonts w:cstheme="minorHAnsi"/>
          <w:b/>
          <w:sz w:val="24"/>
          <w:szCs w:val="24"/>
        </w:rPr>
      </w:pPr>
      <w:r>
        <w:rPr>
          <w:rFonts w:cstheme="minorHAnsi"/>
          <w:b/>
          <w:sz w:val="24"/>
          <w:szCs w:val="24"/>
        </w:rPr>
        <w:br/>
      </w:r>
      <w:r w:rsidR="007338F0" w:rsidRPr="00FD2230">
        <w:rPr>
          <w:rFonts w:cstheme="minorHAnsi"/>
          <w:b/>
          <w:sz w:val="24"/>
          <w:szCs w:val="24"/>
        </w:rPr>
        <w:t>Patient population</w:t>
      </w:r>
    </w:p>
    <w:p w:rsidR="006E137C" w:rsidRPr="00FD2230" w:rsidRDefault="006E137C" w:rsidP="00FD2230">
      <w:pPr>
        <w:spacing w:after="0" w:line="276" w:lineRule="auto"/>
        <w:rPr>
          <w:rFonts w:cstheme="minorHAnsi"/>
          <w:lang w:val="en-US"/>
        </w:rPr>
      </w:pPr>
      <w:r w:rsidRPr="00FD2230">
        <w:rPr>
          <w:rFonts w:cstheme="minorHAnsi"/>
          <w:lang w:val="en-US"/>
        </w:rPr>
        <w:t xml:space="preserve">Patients aged 16 years and older who presented to hospital with symptoms of a </w:t>
      </w:r>
      <w:r w:rsidR="00B4608C" w:rsidRPr="00FD2230">
        <w:rPr>
          <w:rFonts w:cstheme="minorHAnsi"/>
          <w:lang w:val="en-US"/>
        </w:rPr>
        <w:t xml:space="preserve">pulmonary embolism </w:t>
      </w:r>
      <w:r w:rsidR="00EE74A8" w:rsidRPr="00FD2230">
        <w:rPr>
          <w:rFonts w:cstheme="minorHAnsi"/>
          <w:lang w:val="en-US"/>
        </w:rPr>
        <w:t>(</w:t>
      </w:r>
      <w:r w:rsidRPr="00FD2230">
        <w:rPr>
          <w:rFonts w:cstheme="minorHAnsi"/>
          <w:lang w:val="en-US"/>
        </w:rPr>
        <w:t>PE</w:t>
      </w:r>
      <w:r w:rsidR="00EE74A8" w:rsidRPr="00FD2230">
        <w:rPr>
          <w:rFonts w:cstheme="minorHAnsi"/>
          <w:lang w:val="en-US"/>
        </w:rPr>
        <w:t>)</w:t>
      </w:r>
      <w:r w:rsidRPr="00FD2230">
        <w:rPr>
          <w:rFonts w:cstheme="minorHAnsi"/>
          <w:lang w:val="en-US"/>
        </w:rPr>
        <w:t xml:space="preserve"> or who developed PE as an inpatient (using ICD10 codes I26.0 and I26.9) between 1st July 2017 and 31st August 2017 inclusive were included in the study. Ambulatory care/same day emergency patients and patients admitted to hospital were included in the study.</w:t>
      </w:r>
    </w:p>
    <w:p w:rsidR="00FD2230" w:rsidRDefault="00FD2230" w:rsidP="00FD2230">
      <w:pPr>
        <w:spacing w:after="0" w:line="276" w:lineRule="auto"/>
        <w:rPr>
          <w:rFonts w:cstheme="minorHAnsi"/>
          <w:b/>
          <w:sz w:val="24"/>
          <w:szCs w:val="24"/>
        </w:rPr>
      </w:pPr>
    </w:p>
    <w:p w:rsidR="00AE0602" w:rsidRPr="00FD2230" w:rsidRDefault="00AE0602" w:rsidP="00FD2230">
      <w:pPr>
        <w:spacing w:after="0" w:line="276" w:lineRule="auto"/>
        <w:rPr>
          <w:rFonts w:cstheme="minorHAnsi"/>
          <w:sz w:val="24"/>
          <w:szCs w:val="24"/>
        </w:rPr>
      </w:pPr>
      <w:r w:rsidRPr="00FD2230">
        <w:rPr>
          <w:rFonts w:cstheme="minorHAnsi"/>
          <w:b/>
          <w:sz w:val="24"/>
          <w:szCs w:val="24"/>
        </w:rPr>
        <w:t>Clinical issues</w:t>
      </w:r>
    </w:p>
    <w:p w:rsidR="00C50E70" w:rsidRPr="00FD2230" w:rsidRDefault="00B4608C" w:rsidP="00FD2230">
      <w:pPr>
        <w:pStyle w:val="ListParagraph"/>
        <w:numPr>
          <w:ilvl w:val="0"/>
          <w:numId w:val="1"/>
        </w:numPr>
        <w:spacing w:after="0" w:line="276" w:lineRule="auto"/>
        <w:rPr>
          <w:rFonts w:cstheme="minorHAnsi"/>
        </w:rPr>
      </w:pPr>
      <w:r w:rsidRPr="00FD2230">
        <w:rPr>
          <w:rFonts w:cstheme="minorHAnsi"/>
        </w:rPr>
        <w:t>There was an avoidable delay in commencing treatment in 18.7% patients. More than half of the avoidable delays recorded were because an anticoagulant was not prescribed and/or not administered</w:t>
      </w:r>
    </w:p>
    <w:p w:rsidR="00AE0602" w:rsidRPr="00FD2230" w:rsidRDefault="00C50E70" w:rsidP="00FD2230">
      <w:pPr>
        <w:pStyle w:val="ListParagraph"/>
        <w:numPr>
          <w:ilvl w:val="0"/>
          <w:numId w:val="1"/>
        </w:numPr>
        <w:spacing w:after="0" w:line="276" w:lineRule="auto"/>
        <w:rPr>
          <w:rFonts w:cstheme="minorHAnsi"/>
        </w:rPr>
      </w:pPr>
      <w:r w:rsidRPr="00FD2230">
        <w:rPr>
          <w:rFonts w:cstheme="minorHAnsi"/>
        </w:rPr>
        <w:lastRenderedPageBreak/>
        <w:t>A PE clinical probability score was documented in the notes for only 19.7% cases where the patient presented with symptoms of PE</w:t>
      </w:r>
      <w:r w:rsidR="00B4608C" w:rsidRPr="00FD2230">
        <w:rPr>
          <w:rFonts w:cstheme="minorHAnsi"/>
        </w:rPr>
        <w:t xml:space="preserve"> </w:t>
      </w:r>
    </w:p>
    <w:p w:rsidR="00B4608C" w:rsidRPr="00FD2230" w:rsidRDefault="00C27F62" w:rsidP="00FD2230">
      <w:pPr>
        <w:pStyle w:val="ListParagraph"/>
        <w:numPr>
          <w:ilvl w:val="0"/>
          <w:numId w:val="1"/>
        </w:numPr>
        <w:spacing w:after="0" w:line="276" w:lineRule="auto"/>
        <w:rPr>
          <w:rFonts w:cstheme="minorHAnsi"/>
        </w:rPr>
      </w:pPr>
      <w:r w:rsidRPr="00FD2230">
        <w:rPr>
          <w:rFonts w:cstheme="minorHAnsi"/>
        </w:rPr>
        <w:t>The</w:t>
      </w:r>
      <w:r w:rsidR="00B4608C" w:rsidRPr="00FD2230">
        <w:rPr>
          <w:rFonts w:cstheme="minorHAnsi"/>
        </w:rPr>
        <w:t xml:space="preserve"> severity </w:t>
      </w:r>
      <w:r w:rsidRPr="00FD2230">
        <w:rPr>
          <w:rFonts w:cstheme="minorHAnsi"/>
        </w:rPr>
        <w:t>of PE was not recorded for</w:t>
      </w:r>
      <w:r w:rsidR="00B4608C" w:rsidRPr="00FD2230">
        <w:rPr>
          <w:rFonts w:cstheme="minorHAnsi"/>
        </w:rPr>
        <w:t xml:space="preserve"> </w:t>
      </w:r>
      <w:r w:rsidRPr="00FD2230">
        <w:rPr>
          <w:rFonts w:cstheme="minorHAnsi"/>
        </w:rPr>
        <w:t>over 80%</w:t>
      </w:r>
      <w:r w:rsidR="00B4608C" w:rsidRPr="00FD2230">
        <w:rPr>
          <w:rFonts w:cstheme="minorHAnsi"/>
        </w:rPr>
        <w:t xml:space="preserve"> </w:t>
      </w:r>
      <w:r w:rsidRPr="00FD2230">
        <w:rPr>
          <w:rFonts w:cstheme="minorHAnsi"/>
        </w:rPr>
        <w:t xml:space="preserve">of </w:t>
      </w:r>
      <w:r w:rsidR="00B4608C" w:rsidRPr="00FD2230">
        <w:rPr>
          <w:rFonts w:cstheme="minorHAnsi"/>
        </w:rPr>
        <w:t>patients</w:t>
      </w:r>
    </w:p>
    <w:p w:rsidR="00C27F62" w:rsidRPr="00FD2230" w:rsidRDefault="00C27F62" w:rsidP="00FD2230">
      <w:pPr>
        <w:pStyle w:val="ListParagraph"/>
        <w:numPr>
          <w:ilvl w:val="0"/>
          <w:numId w:val="1"/>
        </w:numPr>
        <w:spacing w:after="0" w:line="276" w:lineRule="auto"/>
        <w:rPr>
          <w:rFonts w:cstheme="minorHAnsi"/>
        </w:rPr>
      </w:pPr>
      <w:r w:rsidRPr="00FD2230">
        <w:rPr>
          <w:rFonts w:cstheme="minorHAnsi"/>
        </w:rPr>
        <w:t>In 50.7% of CTPA reports no comment was made on the thrombus burden and in 37.5% no comment was made on the right ventricle</w:t>
      </w:r>
    </w:p>
    <w:p w:rsidR="00C50E70" w:rsidRPr="00FD2230" w:rsidRDefault="00C50E70" w:rsidP="00FD2230">
      <w:pPr>
        <w:pStyle w:val="ListParagraph"/>
        <w:numPr>
          <w:ilvl w:val="0"/>
          <w:numId w:val="1"/>
        </w:numPr>
        <w:spacing w:after="0" w:line="276" w:lineRule="auto"/>
        <w:rPr>
          <w:rFonts w:cstheme="minorHAnsi"/>
        </w:rPr>
      </w:pPr>
      <w:r w:rsidRPr="00FD2230">
        <w:rPr>
          <w:rFonts w:cstheme="minorHAnsi"/>
        </w:rPr>
        <w:t xml:space="preserve">Half of CTPA reports were considered to be less than good including 9.5% which were graded as poor; most commonly due to the lack of comment on the right </w:t>
      </w:r>
      <w:r w:rsidR="005B1E3B" w:rsidRPr="00FD2230">
        <w:rPr>
          <w:rFonts w:cstheme="minorHAnsi"/>
        </w:rPr>
        <w:t>ventricle</w:t>
      </w:r>
    </w:p>
    <w:p w:rsidR="000E1157" w:rsidRPr="00FD2230" w:rsidRDefault="000E1157" w:rsidP="00FD2230">
      <w:pPr>
        <w:pStyle w:val="ListParagraph"/>
        <w:numPr>
          <w:ilvl w:val="0"/>
          <w:numId w:val="1"/>
        </w:numPr>
        <w:spacing w:after="0" w:line="276" w:lineRule="auto"/>
        <w:rPr>
          <w:rFonts w:cstheme="minorHAnsi"/>
        </w:rPr>
      </w:pPr>
      <w:r w:rsidRPr="00FD2230">
        <w:rPr>
          <w:rFonts w:cstheme="minorHAnsi"/>
        </w:rPr>
        <w:t>16.2% patients who presented to hospital with clinical suspicion of PE, were cared for on an ambulatory care pathway for all or part of their patient journey</w:t>
      </w:r>
    </w:p>
    <w:p w:rsidR="00C27F62" w:rsidRPr="00FD2230" w:rsidRDefault="000E1157" w:rsidP="00FD2230">
      <w:pPr>
        <w:pStyle w:val="ListParagraph"/>
        <w:numPr>
          <w:ilvl w:val="0"/>
          <w:numId w:val="1"/>
        </w:numPr>
        <w:spacing w:after="0" w:line="276" w:lineRule="auto"/>
        <w:rPr>
          <w:rFonts w:cstheme="minorHAnsi"/>
        </w:rPr>
      </w:pPr>
      <w:r w:rsidRPr="00FD2230">
        <w:rPr>
          <w:rFonts w:cstheme="minorHAnsi"/>
        </w:rPr>
        <w:t>22.9%</w:t>
      </w:r>
      <w:r w:rsidR="00C27F62" w:rsidRPr="00FD2230">
        <w:rPr>
          <w:rFonts w:cstheme="minorHAnsi"/>
        </w:rPr>
        <w:t xml:space="preserve"> low-risk patients were treated on an ambulatory pathway, suggesting potential missed opportunities for the remaining </w:t>
      </w:r>
      <w:r w:rsidRPr="00FD2230">
        <w:rPr>
          <w:rFonts w:cstheme="minorHAnsi"/>
        </w:rPr>
        <w:t>77.1%</w:t>
      </w:r>
      <w:r w:rsidR="00C27F62" w:rsidRPr="00FD2230">
        <w:rPr>
          <w:rFonts w:cstheme="minorHAnsi"/>
        </w:rPr>
        <w:t xml:space="preserve"> low-risk patients</w:t>
      </w:r>
    </w:p>
    <w:p w:rsidR="00AE0602" w:rsidRPr="00FD2230" w:rsidRDefault="00AE0602" w:rsidP="00FD2230">
      <w:pPr>
        <w:spacing w:after="0" w:line="276" w:lineRule="auto"/>
        <w:rPr>
          <w:rFonts w:cstheme="minorHAnsi"/>
        </w:rPr>
      </w:pPr>
    </w:p>
    <w:p w:rsidR="00AE0602" w:rsidRPr="00FD2230" w:rsidRDefault="00AE0602" w:rsidP="00FD2230">
      <w:pPr>
        <w:spacing w:after="0" w:line="276" w:lineRule="auto"/>
        <w:rPr>
          <w:rFonts w:cstheme="minorHAnsi"/>
          <w:sz w:val="24"/>
          <w:szCs w:val="24"/>
        </w:rPr>
      </w:pPr>
      <w:r w:rsidRPr="00FD2230">
        <w:rPr>
          <w:rFonts w:cstheme="minorHAnsi"/>
          <w:b/>
          <w:sz w:val="24"/>
          <w:szCs w:val="24"/>
        </w:rPr>
        <w:t>Organisational issues</w:t>
      </w:r>
    </w:p>
    <w:p w:rsidR="000E1157" w:rsidRPr="00FD2230" w:rsidRDefault="000E1157" w:rsidP="00FD2230">
      <w:pPr>
        <w:pStyle w:val="ListParagraph"/>
        <w:numPr>
          <w:ilvl w:val="0"/>
          <w:numId w:val="1"/>
        </w:numPr>
        <w:spacing w:after="0" w:line="276" w:lineRule="auto"/>
        <w:rPr>
          <w:rFonts w:cstheme="minorHAnsi"/>
        </w:rPr>
      </w:pPr>
      <w:proofErr w:type="spellStart"/>
      <w:r w:rsidRPr="00FD2230">
        <w:rPr>
          <w:rFonts w:cstheme="minorHAnsi"/>
        </w:rPr>
        <w:t>Proformas</w:t>
      </w:r>
      <w:proofErr w:type="spellEnd"/>
      <w:r w:rsidRPr="00FD2230">
        <w:rPr>
          <w:rFonts w:cstheme="minorHAnsi"/>
        </w:rPr>
        <w:t xml:space="preserve"> or other structured reporting systems for CTPA were only used in 14.1% of hospitals</w:t>
      </w:r>
    </w:p>
    <w:p w:rsidR="000E1157" w:rsidRPr="00FD2230" w:rsidRDefault="000E1157" w:rsidP="00FD2230">
      <w:pPr>
        <w:pStyle w:val="ListParagraph"/>
        <w:numPr>
          <w:ilvl w:val="0"/>
          <w:numId w:val="1"/>
        </w:numPr>
        <w:spacing w:after="0" w:line="276" w:lineRule="auto"/>
        <w:rPr>
          <w:rFonts w:cstheme="minorHAnsi"/>
        </w:rPr>
      </w:pPr>
      <w:r w:rsidRPr="00FD2230">
        <w:rPr>
          <w:rFonts w:cstheme="minorHAnsi"/>
        </w:rPr>
        <w:t>Specific information/education regarding PE was not routinely provide to patients at 32.9% of hospitals</w:t>
      </w:r>
    </w:p>
    <w:p w:rsidR="005B1E3B" w:rsidRPr="00FD2230" w:rsidRDefault="005B1E3B" w:rsidP="00FD2230">
      <w:pPr>
        <w:pStyle w:val="ListParagraph"/>
        <w:numPr>
          <w:ilvl w:val="0"/>
          <w:numId w:val="1"/>
        </w:numPr>
        <w:spacing w:after="0" w:line="276" w:lineRule="auto"/>
        <w:rPr>
          <w:rFonts w:cstheme="minorHAnsi"/>
        </w:rPr>
      </w:pPr>
      <w:r w:rsidRPr="00FD2230">
        <w:rPr>
          <w:rFonts w:cstheme="minorHAnsi"/>
        </w:rPr>
        <w:t>Outpatient follow-up was not routinely arranged following a PE diagnosis in 17.9% of hospitals.</w:t>
      </w:r>
    </w:p>
    <w:p w:rsidR="00EE74A8" w:rsidRPr="00FD2230" w:rsidRDefault="00EE74A8" w:rsidP="00FD2230">
      <w:pPr>
        <w:pStyle w:val="ListParagraph"/>
        <w:numPr>
          <w:ilvl w:val="0"/>
          <w:numId w:val="1"/>
        </w:numPr>
        <w:spacing w:after="0" w:line="276" w:lineRule="auto"/>
        <w:rPr>
          <w:rFonts w:cstheme="minorHAnsi"/>
        </w:rPr>
      </w:pPr>
      <w:r w:rsidRPr="00FD2230">
        <w:rPr>
          <w:rFonts w:cstheme="minorHAnsi"/>
        </w:rPr>
        <w:t xml:space="preserve">Catheter-directed thrombolysis was unavailable on-site or off-site in 35.7% of hospitals. In 51.3% and 36.1% of hospitals, mechanical </w:t>
      </w:r>
      <w:proofErr w:type="spellStart"/>
      <w:r w:rsidRPr="00FD2230">
        <w:rPr>
          <w:rFonts w:cstheme="minorHAnsi"/>
        </w:rPr>
        <w:t>thrombectomy</w:t>
      </w:r>
      <w:proofErr w:type="spellEnd"/>
      <w:r w:rsidRPr="00FD2230">
        <w:rPr>
          <w:rFonts w:cstheme="minorHAnsi"/>
        </w:rPr>
        <w:t xml:space="preserve"> and surgical embolectomy were not treatment options</w:t>
      </w:r>
    </w:p>
    <w:p w:rsidR="00FD2230" w:rsidRDefault="00FD2230" w:rsidP="00FD2230">
      <w:pPr>
        <w:spacing w:after="0" w:line="276" w:lineRule="auto"/>
        <w:rPr>
          <w:rFonts w:cstheme="minorHAnsi"/>
          <w:b/>
          <w:sz w:val="24"/>
          <w:szCs w:val="24"/>
        </w:rPr>
      </w:pPr>
    </w:p>
    <w:p w:rsidR="00D51AFA" w:rsidRPr="00FD2230" w:rsidRDefault="00D51AFA" w:rsidP="00FD2230">
      <w:pPr>
        <w:spacing w:after="0" w:line="276" w:lineRule="auto"/>
        <w:rPr>
          <w:rFonts w:cstheme="minorHAnsi"/>
          <w:b/>
          <w:sz w:val="24"/>
          <w:szCs w:val="24"/>
        </w:rPr>
      </w:pPr>
      <w:r w:rsidRPr="00FD2230">
        <w:rPr>
          <w:rFonts w:cstheme="minorHAnsi"/>
          <w:b/>
          <w:sz w:val="24"/>
          <w:szCs w:val="24"/>
        </w:rPr>
        <w:t>Key features of a service</w:t>
      </w:r>
    </w:p>
    <w:p w:rsidR="00D51AFA" w:rsidRDefault="00FD2230" w:rsidP="00FD2230">
      <w:pPr>
        <w:spacing w:after="0" w:line="276" w:lineRule="auto"/>
        <w:rPr>
          <w:rFonts w:cstheme="minorHAnsi"/>
          <w:lang w:val="en-US"/>
        </w:rPr>
      </w:pPr>
      <w:r>
        <w:rPr>
          <w:rFonts w:cstheme="minorHAnsi"/>
          <w:lang w:val="en-US"/>
        </w:rPr>
        <w:t xml:space="preserve">1. </w:t>
      </w:r>
      <w:r w:rsidR="006E137C" w:rsidRPr="00FD2230">
        <w:rPr>
          <w:rFonts w:cstheme="minorHAnsi"/>
          <w:lang w:val="en-US"/>
        </w:rPr>
        <w:t xml:space="preserve">Give an interim dose of anticoagulant to patients suspected of having an acute pulmonary embolism (unless contraindicated) when confirmation of the diagnosis is expected to be delayed by more than one hour. The anticoagulant selected, and its dose, should be </w:t>
      </w:r>
      <w:proofErr w:type="spellStart"/>
      <w:r w:rsidR="006E137C" w:rsidRPr="00FD2230">
        <w:rPr>
          <w:rFonts w:cstheme="minorHAnsi"/>
          <w:lang w:val="en-US"/>
        </w:rPr>
        <w:t>personalised</w:t>
      </w:r>
      <w:proofErr w:type="spellEnd"/>
      <w:r w:rsidR="006E137C" w:rsidRPr="00FD2230">
        <w:rPr>
          <w:rFonts w:cstheme="minorHAnsi"/>
          <w:lang w:val="en-US"/>
        </w:rPr>
        <w:t xml:space="preserve"> to the patient. This timing is in line with NICE QS29 2013.</w:t>
      </w:r>
    </w:p>
    <w:p w:rsidR="00FD2230" w:rsidRPr="00FD2230" w:rsidRDefault="00FD2230" w:rsidP="00FD2230">
      <w:pPr>
        <w:spacing w:after="0" w:line="276" w:lineRule="auto"/>
        <w:rPr>
          <w:rFonts w:cstheme="minorHAnsi"/>
          <w:lang w:val="en-US"/>
        </w:rPr>
      </w:pPr>
    </w:p>
    <w:p w:rsidR="006E137C" w:rsidRDefault="00FD2230" w:rsidP="00FD2230">
      <w:pPr>
        <w:spacing w:after="0" w:line="276" w:lineRule="auto"/>
        <w:rPr>
          <w:rFonts w:cstheme="minorHAnsi"/>
          <w:lang w:val="en-US"/>
        </w:rPr>
      </w:pPr>
      <w:r>
        <w:rPr>
          <w:rFonts w:cstheme="minorHAnsi"/>
          <w:lang w:val="en-US"/>
        </w:rPr>
        <w:t xml:space="preserve">2. </w:t>
      </w:r>
      <w:r w:rsidR="006E137C" w:rsidRPr="00FD2230">
        <w:rPr>
          <w:rFonts w:cstheme="minorHAnsi"/>
          <w:lang w:val="en-US"/>
        </w:rPr>
        <w:t>Document the severity of acute pulmonary embolism immediately after the confirmation of diagnosis. Severity should be assessed using a validated standardized tool, such as ‘PESI’ or ‘</w:t>
      </w:r>
      <w:proofErr w:type="spellStart"/>
      <w:r w:rsidR="006E137C" w:rsidRPr="00FD2230">
        <w:rPr>
          <w:rFonts w:cstheme="minorHAnsi"/>
          <w:lang w:val="en-US"/>
        </w:rPr>
        <w:t>sPESI</w:t>
      </w:r>
      <w:proofErr w:type="spellEnd"/>
      <w:r w:rsidR="006E137C" w:rsidRPr="00FD2230">
        <w:rPr>
          <w:rFonts w:cstheme="minorHAnsi"/>
          <w:lang w:val="en-US"/>
        </w:rPr>
        <w:t>’. This score should then be considered when deciding on the level of inpatient or ambulatory care.</w:t>
      </w:r>
    </w:p>
    <w:p w:rsidR="00FD2230" w:rsidRPr="00FD2230" w:rsidRDefault="00FD2230" w:rsidP="00FD2230">
      <w:pPr>
        <w:spacing w:after="0" w:line="276" w:lineRule="auto"/>
        <w:rPr>
          <w:rFonts w:cstheme="minorHAnsi"/>
          <w:lang w:val="en-US"/>
        </w:rPr>
      </w:pPr>
    </w:p>
    <w:p w:rsidR="006E137C" w:rsidRPr="00FD2230" w:rsidRDefault="00FD2230" w:rsidP="00FD2230">
      <w:pPr>
        <w:spacing w:after="0" w:line="276" w:lineRule="auto"/>
        <w:rPr>
          <w:rFonts w:cstheme="minorHAnsi"/>
          <w:lang w:val="en-US"/>
        </w:rPr>
      </w:pPr>
      <w:r>
        <w:rPr>
          <w:rFonts w:cstheme="minorHAnsi"/>
          <w:lang w:val="en-US"/>
        </w:rPr>
        <w:lastRenderedPageBreak/>
        <w:t xml:space="preserve">3. </w:t>
      </w:r>
      <w:proofErr w:type="spellStart"/>
      <w:r w:rsidR="006E137C" w:rsidRPr="00FD2230">
        <w:rPr>
          <w:rFonts w:cstheme="minorHAnsi"/>
          <w:lang w:val="en-US"/>
        </w:rPr>
        <w:t>Standardise</w:t>
      </w:r>
      <w:proofErr w:type="spellEnd"/>
      <w:r w:rsidR="006E137C" w:rsidRPr="00FD2230">
        <w:rPr>
          <w:rFonts w:cstheme="minorHAnsi"/>
          <w:lang w:val="en-US"/>
        </w:rPr>
        <w:t xml:space="preserve"> CT pulmonary angiogram reporting. The </w:t>
      </w:r>
      <w:proofErr w:type="spellStart"/>
      <w:r w:rsidR="006E137C" w:rsidRPr="00FD2230">
        <w:rPr>
          <w:rFonts w:cstheme="minorHAnsi"/>
          <w:lang w:val="en-US"/>
        </w:rPr>
        <w:t>proforma</w:t>
      </w:r>
      <w:proofErr w:type="spellEnd"/>
      <w:r w:rsidR="006E137C" w:rsidRPr="00FD2230">
        <w:rPr>
          <w:rFonts w:cstheme="minorHAnsi"/>
          <w:lang w:val="en-US"/>
        </w:rPr>
        <w:t xml:space="preserve"> should include the presence or absence of right ventricular strain. The completion of these </w:t>
      </w:r>
      <w:proofErr w:type="spellStart"/>
      <w:r w:rsidR="006E137C" w:rsidRPr="00FD2230">
        <w:rPr>
          <w:rFonts w:cstheme="minorHAnsi"/>
          <w:lang w:val="en-US"/>
        </w:rPr>
        <w:t>proformas</w:t>
      </w:r>
      <w:proofErr w:type="spellEnd"/>
      <w:r w:rsidR="006E137C" w:rsidRPr="00FD2230">
        <w:rPr>
          <w:rFonts w:cstheme="minorHAnsi"/>
          <w:lang w:val="en-US"/>
        </w:rPr>
        <w:t xml:space="preserve"> should be audited locally to monitor compliance and drive quality improvement.</w:t>
      </w:r>
    </w:p>
    <w:p w:rsidR="00A1064B" w:rsidRPr="00FD2230" w:rsidRDefault="006E137C" w:rsidP="00FD2230">
      <w:pPr>
        <w:spacing w:after="0" w:line="276" w:lineRule="auto"/>
        <w:rPr>
          <w:rFonts w:cstheme="minorHAnsi"/>
          <w:lang w:val="en-US"/>
        </w:rPr>
      </w:pPr>
      <w:r w:rsidRPr="00FD2230">
        <w:rPr>
          <w:rFonts w:cstheme="minorHAnsi"/>
          <w:lang w:val="en-US"/>
        </w:rPr>
        <w:t xml:space="preserve">Look for indicators of massive (high-risk) or sub-massive (intermediate-risk) pulmonary embolism, in addition to calculating the severity of acute pulmonary embolism in the form of: </w:t>
      </w:r>
    </w:p>
    <w:p w:rsidR="006E137C" w:rsidRPr="00FD2230" w:rsidRDefault="006E137C" w:rsidP="00FD2230">
      <w:pPr>
        <w:pStyle w:val="ListParagraph"/>
        <w:numPr>
          <w:ilvl w:val="0"/>
          <w:numId w:val="4"/>
        </w:numPr>
        <w:spacing w:after="0" w:line="276" w:lineRule="auto"/>
        <w:rPr>
          <w:rFonts w:cstheme="minorHAnsi"/>
          <w:lang w:val="en-US"/>
        </w:rPr>
      </w:pPr>
      <w:proofErr w:type="spellStart"/>
      <w:r w:rsidRPr="00FD2230">
        <w:rPr>
          <w:rFonts w:cstheme="minorHAnsi"/>
          <w:lang w:val="en-US"/>
        </w:rPr>
        <w:t>Haemodynamic</w:t>
      </w:r>
      <w:proofErr w:type="spellEnd"/>
      <w:r w:rsidRPr="00FD2230">
        <w:rPr>
          <w:rFonts w:cstheme="minorHAnsi"/>
          <w:lang w:val="en-US"/>
        </w:rPr>
        <w:t xml:space="preserve"> instability (clinical)</w:t>
      </w:r>
    </w:p>
    <w:p w:rsidR="006E137C" w:rsidRPr="00FD2230" w:rsidRDefault="006E137C" w:rsidP="00FD2230">
      <w:pPr>
        <w:pStyle w:val="ListParagraph"/>
        <w:numPr>
          <w:ilvl w:val="0"/>
          <w:numId w:val="4"/>
        </w:numPr>
        <w:spacing w:after="0" w:line="276" w:lineRule="auto"/>
        <w:rPr>
          <w:rFonts w:cstheme="minorHAnsi"/>
          <w:lang w:val="en-US"/>
        </w:rPr>
      </w:pPr>
      <w:r w:rsidRPr="00FD2230">
        <w:rPr>
          <w:rFonts w:cstheme="minorHAnsi"/>
          <w:lang w:val="en-US"/>
        </w:rPr>
        <w:t>Right heart strain (imaging)</w:t>
      </w:r>
    </w:p>
    <w:p w:rsidR="006E137C" w:rsidRPr="00FD2230" w:rsidRDefault="006E137C" w:rsidP="00FD2230">
      <w:pPr>
        <w:pStyle w:val="ListParagraph"/>
        <w:numPr>
          <w:ilvl w:val="0"/>
          <w:numId w:val="4"/>
        </w:numPr>
        <w:spacing w:after="0" w:line="276" w:lineRule="auto"/>
        <w:rPr>
          <w:rFonts w:cstheme="minorHAnsi"/>
          <w:lang w:val="en-US"/>
        </w:rPr>
      </w:pPr>
      <w:r w:rsidRPr="00FD2230">
        <w:rPr>
          <w:rFonts w:cstheme="minorHAnsi"/>
          <w:lang w:val="en-US"/>
        </w:rPr>
        <w:t>Elevated troponin or BNP (biochemical).</w:t>
      </w:r>
    </w:p>
    <w:p w:rsidR="006E137C" w:rsidRPr="00FD2230" w:rsidRDefault="006E137C" w:rsidP="00FD2230">
      <w:pPr>
        <w:spacing w:after="0" w:line="276" w:lineRule="auto"/>
        <w:rPr>
          <w:rFonts w:cstheme="minorHAnsi"/>
          <w:lang w:val="en-US"/>
        </w:rPr>
      </w:pPr>
      <w:r w:rsidRPr="00FD2230">
        <w:rPr>
          <w:rFonts w:cstheme="minorHAnsi"/>
          <w:lang w:val="en-US"/>
        </w:rPr>
        <w:t>Escalate promptly based on local guidance and document in the case notes.</w:t>
      </w:r>
    </w:p>
    <w:p w:rsidR="00EE74A8" w:rsidRPr="00FD2230" w:rsidRDefault="00EE74A8" w:rsidP="00FD2230">
      <w:pPr>
        <w:spacing w:after="0" w:line="276" w:lineRule="auto"/>
        <w:rPr>
          <w:rFonts w:cstheme="minorHAnsi"/>
          <w:lang w:val="en-US"/>
        </w:rPr>
      </w:pPr>
    </w:p>
    <w:p w:rsidR="005B1E3B" w:rsidRPr="00FD2230" w:rsidRDefault="00FD2230" w:rsidP="00FD2230">
      <w:pPr>
        <w:spacing w:after="0" w:line="276" w:lineRule="auto"/>
        <w:rPr>
          <w:rFonts w:cstheme="minorHAnsi"/>
          <w:lang w:val="en-US"/>
        </w:rPr>
      </w:pPr>
      <w:proofErr w:type="gramStart"/>
      <w:r>
        <w:rPr>
          <w:rFonts w:cstheme="minorHAnsi"/>
          <w:lang w:val="en-US"/>
        </w:rPr>
        <w:t>4.</w:t>
      </w:r>
      <w:r w:rsidR="005B1E3B" w:rsidRPr="00FD2230">
        <w:rPr>
          <w:rFonts w:cstheme="minorHAnsi"/>
          <w:lang w:val="en-US"/>
        </w:rPr>
        <w:t>Provide</w:t>
      </w:r>
      <w:proofErr w:type="gramEnd"/>
      <w:r w:rsidR="005B1E3B" w:rsidRPr="00FD2230">
        <w:rPr>
          <w:rFonts w:cstheme="minorHAnsi"/>
          <w:lang w:val="en-US"/>
        </w:rPr>
        <w:t xml:space="preserve"> every patient with an acute pulmonary embolism with a follow-up plan, patient information leaflet and, at discharge, a discharge letter which should include:</w:t>
      </w:r>
    </w:p>
    <w:p w:rsidR="005B1E3B" w:rsidRPr="00FD2230" w:rsidRDefault="005B1E3B" w:rsidP="00FD2230">
      <w:pPr>
        <w:pStyle w:val="ListParagraph"/>
        <w:numPr>
          <w:ilvl w:val="0"/>
          <w:numId w:val="5"/>
        </w:numPr>
        <w:spacing w:after="0" w:line="276" w:lineRule="auto"/>
        <w:rPr>
          <w:rFonts w:cstheme="minorHAnsi"/>
          <w:lang w:val="en-US"/>
        </w:rPr>
      </w:pPr>
      <w:r w:rsidRPr="00FD2230">
        <w:rPr>
          <w:rFonts w:cstheme="minorHAnsi"/>
          <w:lang w:val="en-US"/>
        </w:rPr>
        <w:t xml:space="preserve">The likely cause of the pulmonary embolism </w:t>
      </w:r>
    </w:p>
    <w:p w:rsidR="005B1E3B" w:rsidRPr="00FD2230" w:rsidRDefault="005B1E3B" w:rsidP="00FD2230">
      <w:pPr>
        <w:pStyle w:val="ListParagraph"/>
        <w:numPr>
          <w:ilvl w:val="0"/>
          <w:numId w:val="5"/>
        </w:numPr>
        <w:spacing w:after="0" w:line="276" w:lineRule="auto"/>
        <w:rPr>
          <w:rFonts w:cstheme="minorHAnsi"/>
          <w:lang w:val="en-US"/>
        </w:rPr>
      </w:pPr>
      <w:r w:rsidRPr="00FD2230">
        <w:rPr>
          <w:rFonts w:cstheme="minorHAnsi"/>
          <w:lang w:val="en-US"/>
        </w:rPr>
        <w:t>Whether it was provoked or unprovoked</w:t>
      </w:r>
    </w:p>
    <w:p w:rsidR="005B1E3B" w:rsidRPr="00FD2230" w:rsidRDefault="005B1E3B" w:rsidP="00FD2230">
      <w:pPr>
        <w:pStyle w:val="ListParagraph"/>
        <w:numPr>
          <w:ilvl w:val="0"/>
          <w:numId w:val="5"/>
        </w:numPr>
        <w:spacing w:after="0" w:line="276" w:lineRule="auto"/>
        <w:rPr>
          <w:rFonts w:cstheme="minorHAnsi"/>
          <w:lang w:val="en-US"/>
        </w:rPr>
      </w:pPr>
      <w:r w:rsidRPr="00FD2230">
        <w:rPr>
          <w:rFonts w:cstheme="minorHAnsi"/>
          <w:lang w:val="en-US"/>
        </w:rPr>
        <w:t>Details of follow-up appointment(s)</w:t>
      </w:r>
    </w:p>
    <w:p w:rsidR="005B1E3B" w:rsidRPr="00FD2230" w:rsidRDefault="005B1E3B" w:rsidP="00FD2230">
      <w:pPr>
        <w:pStyle w:val="ListParagraph"/>
        <w:numPr>
          <w:ilvl w:val="0"/>
          <w:numId w:val="5"/>
        </w:numPr>
        <w:spacing w:after="0" w:line="276" w:lineRule="auto"/>
        <w:rPr>
          <w:rFonts w:cstheme="minorHAnsi"/>
          <w:lang w:val="en-US"/>
        </w:rPr>
      </w:pPr>
      <w:r w:rsidRPr="00FD2230">
        <w:rPr>
          <w:rFonts w:cstheme="minorHAnsi"/>
          <w:lang w:val="en-US"/>
        </w:rPr>
        <w:t>Any further investigations required</w:t>
      </w:r>
    </w:p>
    <w:p w:rsidR="005B1E3B" w:rsidRPr="00FD2230" w:rsidRDefault="005B1E3B" w:rsidP="00FD2230">
      <w:pPr>
        <w:pStyle w:val="ListParagraph"/>
        <w:numPr>
          <w:ilvl w:val="0"/>
          <w:numId w:val="5"/>
        </w:numPr>
        <w:spacing w:after="0" w:line="276" w:lineRule="auto"/>
        <w:rPr>
          <w:rFonts w:cstheme="minorHAnsi"/>
          <w:lang w:val="en-US"/>
        </w:rPr>
      </w:pPr>
      <w:r w:rsidRPr="00FD2230">
        <w:rPr>
          <w:rFonts w:cstheme="minorHAnsi"/>
          <w:lang w:val="en-US"/>
        </w:rPr>
        <w:t>Details of anticoagulant prescribed and its duration, in line with NICE CG144</w:t>
      </w:r>
    </w:p>
    <w:p w:rsidR="00EE74A8" w:rsidRPr="00FD2230" w:rsidRDefault="00EE74A8" w:rsidP="00FD2230">
      <w:pPr>
        <w:spacing w:after="0" w:line="276" w:lineRule="auto"/>
        <w:rPr>
          <w:rFonts w:cstheme="minorHAnsi"/>
          <w:lang w:val="en-US"/>
        </w:rPr>
      </w:pPr>
    </w:p>
    <w:p w:rsidR="00EE74A8" w:rsidRPr="00FD2230" w:rsidRDefault="00FD2230" w:rsidP="00FD2230">
      <w:pPr>
        <w:spacing w:after="0" w:line="276" w:lineRule="auto"/>
        <w:rPr>
          <w:rFonts w:cstheme="minorHAnsi"/>
          <w:lang w:val="en-US"/>
        </w:rPr>
      </w:pPr>
      <w:r>
        <w:rPr>
          <w:rFonts w:cstheme="minorHAnsi"/>
          <w:lang w:val="en-US"/>
        </w:rPr>
        <w:t xml:space="preserve">5. </w:t>
      </w:r>
      <w:proofErr w:type="spellStart"/>
      <w:r w:rsidR="00EE74A8" w:rsidRPr="00FD2230">
        <w:rPr>
          <w:rFonts w:cstheme="minorHAnsi"/>
          <w:lang w:val="en-US"/>
        </w:rPr>
        <w:t>Formalise</w:t>
      </w:r>
      <w:proofErr w:type="spellEnd"/>
      <w:r w:rsidR="00EE74A8" w:rsidRPr="00FD2230">
        <w:rPr>
          <w:rFonts w:cstheme="minorHAnsi"/>
          <w:lang w:val="en-US"/>
        </w:rPr>
        <w:t xml:space="preserve"> pulmonary embolism treatment networks for access to catheter-directed thrombolysis, surgical embolectomy or mechanical </w:t>
      </w:r>
      <w:proofErr w:type="spellStart"/>
      <w:r w:rsidR="00EE74A8" w:rsidRPr="00FD2230">
        <w:rPr>
          <w:rFonts w:cstheme="minorHAnsi"/>
          <w:lang w:val="en-US"/>
        </w:rPr>
        <w:t>thrombectomy</w:t>
      </w:r>
      <w:proofErr w:type="spellEnd"/>
      <w:r w:rsidR="00EE74A8" w:rsidRPr="00FD2230">
        <w:rPr>
          <w:rFonts w:cstheme="minorHAnsi"/>
          <w:lang w:val="en-US"/>
        </w:rPr>
        <w:t xml:space="preserve"> for the treatment of patients with pulmonary embolism who either fail to improve or have absolute contraindications to systemic thrombolysis.</w:t>
      </w:r>
    </w:p>
    <w:p w:rsidR="006E137C" w:rsidRPr="00FD2230" w:rsidRDefault="006E137C" w:rsidP="00FD2230">
      <w:pPr>
        <w:spacing w:after="0" w:line="276" w:lineRule="auto"/>
        <w:rPr>
          <w:rFonts w:cstheme="minorHAnsi"/>
          <w:lang w:val="en-US"/>
        </w:rPr>
      </w:pPr>
    </w:p>
    <w:p w:rsidR="00D51AFA" w:rsidRPr="00FD2230" w:rsidRDefault="00FD2230" w:rsidP="00FD2230">
      <w:pPr>
        <w:spacing w:after="0" w:line="276" w:lineRule="auto"/>
        <w:rPr>
          <w:rFonts w:cstheme="minorHAnsi"/>
          <w:b/>
          <w:sz w:val="24"/>
          <w:szCs w:val="24"/>
        </w:rPr>
      </w:pPr>
      <w:r>
        <w:rPr>
          <w:rFonts w:cstheme="minorHAnsi"/>
          <w:b/>
          <w:sz w:val="24"/>
          <w:szCs w:val="24"/>
        </w:rPr>
        <w:t>Supporting n</w:t>
      </w:r>
      <w:r w:rsidR="00D51AFA" w:rsidRPr="00FD2230">
        <w:rPr>
          <w:rFonts w:cstheme="minorHAnsi"/>
          <w:b/>
          <w:sz w:val="24"/>
          <w:szCs w:val="24"/>
        </w:rPr>
        <w:t>ational guidance and reports</w:t>
      </w:r>
    </w:p>
    <w:p w:rsidR="00B70645" w:rsidRPr="00FD2230" w:rsidRDefault="00B70645" w:rsidP="00FD2230">
      <w:pPr>
        <w:pStyle w:val="ListParagraph"/>
        <w:numPr>
          <w:ilvl w:val="0"/>
          <w:numId w:val="6"/>
        </w:numPr>
        <w:spacing w:after="0" w:line="276" w:lineRule="auto"/>
        <w:ind w:left="426"/>
        <w:rPr>
          <w:rFonts w:cstheme="minorHAnsi"/>
        </w:rPr>
      </w:pPr>
      <w:r w:rsidRPr="00FD2230">
        <w:rPr>
          <w:rFonts w:cstheme="minorHAnsi"/>
        </w:rPr>
        <w:t xml:space="preserve">Venous Thromboembolism Prevention A Guide for Delivering the CQUIN Goal. 2010. </w:t>
      </w:r>
      <w:hyperlink r:id="rId8" w:history="1">
        <w:r w:rsidR="00FD2230" w:rsidRPr="00FD2230">
          <w:rPr>
            <w:rStyle w:val="Hyperlink"/>
          </w:rPr>
          <w:t>http://www.</w:t>
        </w:r>
        <w:r w:rsidRPr="00FD2230">
          <w:rPr>
            <w:rStyle w:val="Hyperlink"/>
          </w:rPr>
          <w:t>kingsthrombosisce</w:t>
        </w:r>
        <w:r w:rsidR="00FD2230" w:rsidRPr="00FD2230">
          <w:rPr>
            <w:rStyle w:val="Hyperlink"/>
          </w:rPr>
          <w:t>ntre.org.uk/kings/Delivering%20</w:t>
        </w:r>
        <w:r w:rsidRPr="00FD2230">
          <w:rPr>
            <w:rStyle w:val="Hyperlink"/>
          </w:rPr>
          <w:t>the%20C</w:t>
        </w:r>
        <w:r w:rsidR="00FD2230" w:rsidRPr="00FD2230">
          <w:rPr>
            <w:rStyle w:val="Hyperlink"/>
          </w:rPr>
          <w:t>QUIN%20Goal_2ndEdition_LR.pdf 5</w:t>
        </w:r>
      </w:hyperlink>
    </w:p>
    <w:p w:rsidR="00D51AFA" w:rsidRPr="00FD2230" w:rsidRDefault="00B70645" w:rsidP="00FD2230">
      <w:pPr>
        <w:pStyle w:val="ListParagraph"/>
        <w:numPr>
          <w:ilvl w:val="0"/>
          <w:numId w:val="6"/>
        </w:numPr>
        <w:spacing w:after="0" w:line="276" w:lineRule="auto"/>
        <w:ind w:left="426"/>
        <w:rPr>
          <w:rFonts w:cstheme="minorHAnsi"/>
        </w:rPr>
      </w:pPr>
      <w:r w:rsidRPr="00FD2230">
        <w:rPr>
          <w:rFonts w:cstheme="minorHAnsi"/>
        </w:rPr>
        <w:t xml:space="preserve">National Institute for Health and Care Excellence (NICE) guidance. NICE Clinical Guidance CG144. Venous thromboembolic diseases: diagnosis, management and thrombophilia testing. 2012. </w:t>
      </w:r>
      <w:hyperlink r:id="rId9" w:history="1">
        <w:r w:rsidRPr="00FD2230">
          <w:rPr>
            <w:rStyle w:val="Hyperlink"/>
          </w:rPr>
          <w:t>https://www.nice.org.uk/ guidance/cg144/resources/venous-thromboembolicdiseases-diagnosis-management-and-thrombophiliatesting-pdf-35109570835141</w:t>
        </w:r>
      </w:hyperlink>
    </w:p>
    <w:p w:rsidR="00B70645" w:rsidRPr="00FD2230" w:rsidRDefault="00B70645" w:rsidP="00FD2230">
      <w:pPr>
        <w:pStyle w:val="ListParagraph"/>
        <w:numPr>
          <w:ilvl w:val="0"/>
          <w:numId w:val="6"/>
        </w:numPr>
        <w:spacing w:after="0" w:line="276" w:lineRule="auto"/>
        <w:ind w:left="426"/>
        <w:rPr>
          <w:rFonts w:cstheme="minorHAnsi"/>
        </w:rPr>
      </w:pPr>
      <w:r w:rsidRPr="00FD2230">
        <w:rPr>
          <w:rFonts w:cstheme="minorHAnsi"/>
        </w:rPr>
        <w:t xml:space="preserve">Howard LSGE, Barden S, </w:t>
      </w:r>
      <w:proofErr w:type="spellStart"/>
      <w:r w:rsidRPr="00FD2230">
        <w:rPr>
          <w:rFonts w:cstheme="minorHAnsi"/>
        </w:rPr>
        <w:t>Condliffe</w:t>
      </w:r>
      <w:proofErr w:type="spellEnd"/>
      <w:r w:rsidRPr="00FD2230">
        <w:rPr>
          <w:rFonts w:cstheme="minorHAnsi"/>
        </w:rPr>
        <w:t xml:space="preserve"> R, et al. British Thoracic Society Guideline for the initial outpatient management of pulmonary embolism (PE). Thorax 2018;73:ii1-ii29</w:t>
      </w:r>
    </w:p>
    <w:p w:rsidR="00B70645" w:rsidRPr="00FD2230" w:rsidRDefault="00B70645" w:rsidP="00FD2230">
      <w:pPr>
        <w:pStyle w:val="ListParagraph"/>
        <w:numPr>
          <w:ilvl w:val="0"/>
          <w:numId w:val="6"/>
        </w:numPr>
        <w:spacing w:after="0" w:line="276" w:lineRule="auto"/>
        <w:ind w:left="426"/>
        <w:rPr>
          <w:rFonts w:cstheme="minorHAnsi"/>
        </w:rPr>
      </w:pPr>
      <w:r w:rsidRPr="00FD2230">
        <w:rPr>
          <w:rFonts w:cstheme="minorHAnsi"/>
        </w:rPr>
        <w:t xml:space="preserve">National Institute for Health and Care Excellence (NICE) Quality Standard. NICE QS29 for the diagnosis and management of venous thromboembolism. 2013 </w:t>
      </w:r>
      <w:hyperlink r:id="rId10" w:history="1">
        <w:r w:rsidRPr="00FD2230">
          <w:rPr>
            <w:rStyle w:val="Hyperlink"/>
          </w:rPr>
          <w:t>https://www.nice.org.uk/guidance/qs29/resources/ venous-thromboembolism-in-adults-diagnosis-andmanagement-pdf-2098554175429</w:t>
        </w:r>
      </w:hyperlink>
    </w:p>
    <w:p w:rsidR="00B70645" w:rsidRPr="00FD2230" w:rsidRDefault="00B70645" w:rsidP="00FD2230">
      <w:pPr>
        <w:pStyle w:val="ListParagraph"/>
        <w:numPr>
          <w:ilvl w:val="0"/>
          <w:numId w:val="6"/>
        </w:numPr>
        <w:spacing w:after="0" w:line="276" w:lineRule="auto"/>
        <w:ind w:left="426"/>
        <w:rPr>
          <w:rFonts w:cstheme="minorHAnsi"/>
        </w:rPr>
      </w:pPr>
      <w:r w:rsidRPr="00FD2230">
        <w:rPr>
          <w:rFonts w:cstheme="minorHAnsi"/>
        </w:rPr>
        <w:t xml:space="preserve">Scottish Intercollegiate Guidelines Network. SIGN 122. Prevention and management of venous thromboembolism. A national clinical guideline. 2010. </w:t>
      </w:r>
      <w:hyperlink r:id="rId11" w:history="1">
        <w:r w:rsidRPr="00FD2230">
          <w:rPr>
            <w:rStyle w:val="Hyperlink"/>
            <w:rFonts w:cstheme="minorHAnsi"/>
          </w:rPr>
          <w:t>https://www.sign.ac.uk/assets/sign122.pdf</w:t>
        </w:r>
      </w:hyperlink>
    </w:p>
    <w:p w:rsidR="00B70645" w:rsidRPr="00FD2230" w:rsidRDefault="00B70645" w:rsidP="00FD2230">
      <w:pPr>
        <w:pStyle w:val="ListParagraph"/>
        <w:numPr>
          <w:ilvl w:val="0"/>
          <w:numId w:val="6"/>
        </w:numPr>
        <w:spacing w:after="0" w:line="276" w:lineRule="auto"/>
        <w:ind w:left="426"/>
        <w:rPr>
          <w:rFonts w:cstheme="minorHAnsi"/>
        </w:rPr>
      </w:pPr>
      <w:proofErr w:type="spellStart"/>
      <w:r w:rsidRPr="00FD2230">
        <w:rPr>
          <w:rFonts w:cstheme="minorHAnsi"/>
        </w:rPr>
        <w:t>Konstantinides</w:t>
      </w:r>
      <w:proofErr w:type="spellEnd"/>
      <w:r w:rsidRPr="00FD2230">
        <w:rPr>
          <w:rFonts w:cstheme="minorHAnsi"/>
        </w:rPr>
        <w:t xml:space="preserve"> SV, </w:t>
      </w:r>
      <w:proofErr w:type="spellStart"/>
      <w:r w:rsidRPr="00FD2230">
        <w:rPr>
          <w:rFonts w:cstheme="minorHAnsi"/>
        </w:rPr>
        <w:t>Torb</w:t>
      </w:r>
      <w:r w:rsidR="00FD2230">
        <w:rPr>
          <w:rFonts w:cstheme="minorHAnsi"/>
        </w:rPr>
        <w:t>icki</w:t>
      </w:r>
      <w:proofErr w:type="spellEnd"/>
      <w:r w:rsidR="00FD2230">
        <w:rPr>
          <w:rFonts w:cstheme="minorHAnsi"/>
        </w:rPr>
        <w:t xml:space="preserve"> A, </w:t>
      </w:r>
      <w:proofErr w:type="spellStart"/>
      <w:r w:rsidRPr="00FD2230">
        <w:rPr>
          <w:rFonts w:cstheme="minorHAnsi"/>
        </w:rPr>
        <w:t>Agnelli</w:t>
      </w:r>
      <w:proofErr w:type="spellEnd"/>
      <w:r w:rsidRPr="00FD2230">
        <w:rPr>
          <w:rFonts w:cstheme="minorHAnsi"/>
        </w:rPr>
        <w:t xml:space="preserve"> G et al. European Society of Cardiology Guidelines on the diagnosis and management of acute pulmonary embolism. European Heart Journal 2014; 35: 3033–3080 </w:t>
      </w:r>
      <w:r w:rsidRPr="00FD2230">
        <w:rPr>
          <w:rStyle w:val="Hyperlink"/>
        </w:rPr>
        <w:t>https://academic. oup.com/</w:t>
      </w:r>
      <w:proofErr w:type="spellStart"/>
      <w:r w:rsidRPr="00FD2230">
        <w:rPr>
          <w:rStyle w:val="Hyperlink"/>
        </w:rPr>
        <w:t>eurheartj</w:t>
      </w:r>
      <w:proofErr w:type="spellEnd"/>
      <w:r w:rsidRPr="00FD2230">
        <w:rPr>
          <w:rStyle w:val="Hyperlink"/>
        </w:rPr>
        <w:t>/article/35/43/3033/503581</w:t>
      </w:r>
    </w:p>
    <w:p w:rsidR="00B70645" w:rsidRPr="00FD2230" w:rsidRDefault="00B70645" w:rsidP="00FD2230">
      <w:pPr>
        <w:pStyle w:val="ListParagraph"/>
        <w:numPr>
          <w:ilvl w:val="0"/>
          <w:numId w:val="6"/>
        </w:numPr>
        <w:spacing w:after="0" w:line="276" w:lineRule="auto"/>
        <w:ind w:left="426"/>
        <w:rPr>
          <w:rFonts w:cstheme="minorHAnsi"/>
        </w:rPr>
      </w:pPr>
      <w:r w:rsidRPr="00FD2230">
        <w:rPr>
          <w:rFonts w:cstheme="minorHAnsi"/>
        </w:rPr>
        <w:t xml:space="preserve">National Institute for Health and Care Excellence (NICE) guidance. NICE Clinical Guidance CG92 </w:t>
      </w:r>
      <w:bookmarkStart w:id="0" w:name="_GoBack"/>
      <w:r w:rsidRPr="00FD2230">
        <w:rPr>
          <w:rFonts w:cstheme="minorHAnsi"/>
        </w:rPr>
        <w:t xml:space="preserve">‘Venous Thromboembolism: reducing the risk for patients in hospital’ (2010 with update in </w:t>
      </w:r>
      <w:bookmarkEnd w:id="0"/>
      <w:r w:rsidRPr="00FD2230">
        <w:rPr>
          <w:rFonts w:cstheme="minorHAnsi"/>
        </w:rPr>
        <w:t>2015)</w:t>
      </w:r>
      <w:r w:rsidR="00FD2230">
        <w:rPr>
          <w:rStyle w:val="Hyperlink"/>
        </w:rPr>
        <w:t xml:space="preserve"> </w:t>
      </w:r>
      <w:r w:rsidR="00FD2230" w:rsidRPr="00FD2230">
        <w:rPr>
          <w:rStyle w:val="Hyperlink"/>
        </w:rPr>
        <w:t>https://www.nice. org.uk/guidance/CG92</w:t>
      </w:r>
      <w:r w:rsidR="00FD2230">
        <w:rPr>
          <w:rStyle w:val="Hyperlink"/>
        </w:rPr>
        <w:t xml:space="preserve"> </w:t>
      </w:r>
    </w:p>
    <w:p w:rsidR="00B70645" w:rsidRPr="00FD2230" w:rsidRDefault="00B70645" w:rsidP="00FD2230">
      <w:pPr>
        <w:pStyle w:val="ListParagraph"/>
        <w:numPr>
          <w:ilvl w:val="0"/>
          <w:numId w:val="6"/>
        </w:numPr>
        <w:spacing w:after="0" w:line="276" w:lineRule="auto"/>
        <w:ind w:left="426"/>
        <w:rPr>
          <w:rFonts w:cstheme="minorHAnsi"/>
        </w:rPr>
      </w:pPr>
      <w:r w:rsidRPr="00FD2230">
        <w:rPr>
          <w:rFonts w:cstheme="minorHAnsi"/>
        </w:rPr>
        <w:t xml:space="preserve">National Institute for Health and Care Excellence (NICE) guidance, NICE Guidance 89. Venous thromboembolism in over 16s: reducing the risk of hospital acquired deep venous thrombosis or pulmonary embolism. 2018 </w:t>
      </w:r>
      <w:hyperlink r:id="rId12" w:history="1">
        <w:r w:rsidRPr="00FD2230">
          <w:rPr>
            <w:rStyle w:val="Hyperlink"/>
          </w:rPr>
          <w:t>https://www.nice.org.uk/guidance/ng89/resources/ venous-thromboembolism-in-over-16s-reducing-the-riskof-hospitalacquired-deep-vein-thrombosis-or-pulmonaryembolism-pdf-1837703092165</w:t>
        </w:r>
      </w:hyperlink>
    </w:p>
    <w:sectPr w:rsidR="00B70645" w:rsidRPr="00FD2230" w:rsidSect="00AE0602">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492" w:rsidRDefault="00732492" w:rsidP="00AE0602">
      <w:pPr>
        <w:spacing w:after="0" w:line="240" w:lineRule="auto"/>
      </w:pPr>
      <w:r>
        <w:separator/>
      </w:r>
    </w:p>
  </w:endnote>
  <w:endnote w:type="continuationSeparator" w:id="0">
    <w:p w:rsidR="00732492" w:rsidRDefault="00732492" w:rsidP="00AE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492" w:rsidRDefault="00732492" w:rsidP="00AE0602">
      <w:pPr>
        <w:spacing w:after="0" w:line="240" w:lineRule="auto"/>
      </w:pPr>
      <w:r>
        <w:separator/>
      </w:r>
    </w:p>
  </w:footnote>
  <w:footnote w:type="continuationSeparator" w:id="0">
    <w:p w:rsidR="00732492" w:rsidRDefault="00732492" w:rsidP="00AE0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602" w:rsidRPr="00732492" w:rsidRDefault="00D51AFA" w:rsidP="00FD2230">
    <w:pPr>
      <w:pStyle w:val="Header"/>
      <w:jc w:val="center"/>
      <w:rPr>
        <w:b/>
        <w:sz w:val="28"/>
        <w:szCs w:val="28"/>
      </w:rPr>
    </w:pPr>
    <w:r w:rsidRPr="00D51AFA">
      <w:rPr>
        <w:b/>
        <w:noProof/>
        <w:sz w:val="32"/>
        <w:szCs w:val="32"/>
        <w:lang w:eastAsia="en-GB"/>
      </w:rPr>
      <mc:AlternateContent>
        <mc:Choice Requires="wps">
          <w:drawing>
            <wp:anchor distT="45720" distB="45720" distL="114300" distR="114300" simplePos="0" relativeHeight="251659264" behindDoc="0" locked="0" layoutInCell="1" allowOverlap="1">
              <wp:simplePos x="0" y="0"/>
              <wp:positionH relativeFrom="column">
                <wp:posOffset>4933950</wp:posOffset>
              </wp:positionH>
              <wp:positionV relativeFrom="paragraph">
                <wp:posOffset>-392430</wp:posOffset>
              </wp:positionV>
              <wp:extent cx="1685925" cy="1404620"/>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4620"/>
                      </a:xfrm>
                      <a:prstGeom prst="rect">
                        <a:avLst/>
                      </a:prstGeom>
                      <a:solidFill>
                        <a:srgbClr val="FFFFFF"/>
                      </a:solidFill>
                      <a:ln w="9525">
                        <a:noFill/>
                        <a:miter lim="800000"/>
                        <a:headEnd/>
                        <a:tailEnd/>
                      </a:ln>
                    </wps:spPr>
                    <wps:txbx>
                      <w:txbxContent>
                        <w:p w:rsidR="00D51AFA" w:rsidRDefault="00D51AFA">
                          <w:r w:rsidRPr="002E470C">
                            <w:rPr>
                              <w:noProof/>
                              <w:lang w:eastAsia="en-GB"/>
                            </w:rPr>
                            <w:drawing>
                              <wp:inline distT="0" distB="0" distL="0" distR="0" wp14:anchorId="0722F071" wp14:editId="626EE39C">
                                <wp:extent cx="1344930" cy="480060"/>
                                <wp:effectExtent l="19050" t="0" r="7620" b="0"/>
                                <wp:docPr id="3" name="Picture 1" descr="Letterh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1"/>
                                        <a:srcRect r="34878" b="56446"/>
                                        <a:stretch>
                                          <a:fillRect/>
                                        </a:stretch>
                                      </pic:blipFill>
                                      <pic:spPr>
                                        <a:xfrm>
                                          <a:off x="0" y="0"/>
                                          <a:ext cx="1344930" cy="48006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8.5pt;margin-top:-30.9pt;width:13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" stroked="f">
              <v:textbox style="mso-fit-shape-to-text:t">
                <w:txbxContent>
                  <w:p w:rsidR="00D51AFA" w:rsidRDefault="00D51AFA">
                    <w:r w:rsidRPr="002E470C">
                      <w:rPr>
                        <w:noProof/>
                        <w:lang w:eastAsia="en-GB"/>
                      </w:rPr>
                      <w:drawing>
                        <wp:inline distT="0" distB="0" distL="0" distR="0" wp14:anchorId="0722F071" wp14:editId="626EE39C">
                          <wp:extent cx="1344930" cy="480060"/>
                          <wp:effectExtent l="19050" t="0" r="7620" b="0"/>
                          <wp:docPr id="3" name="Picture 1" descr="Letterh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1"/>
                                  <a:srcRect r="34878" b="56446"/>
                                  <a:stretch>
                                    <a:fillRect/>
                                  </a:stretch>
                                </pic:blipFill>
                                <pic:spPr>
                                  <a:xfrm>
                                    <a:off x="0" y="0"/>
                                    <a:ext cx="1344930" cy="480060"/>
                                  </a:xfrm>
                                  <a:prstGeom prst="rect">
                                    <a:avLst/>
                                  </a:prstGeom>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AFA" w:rsidRPr="00D51AFA" w:rsidRDefault="00D51AFA" w:rsidP="00D51A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6BDC"/>
    <w:multiLevelType w:val="hybridMultilevel"/>
    <w:tmpl w:val="4900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F62A4"/>
    <w:multiLevelType w:val="hybridMultilevel"/>
    <w:tmpl w:val="61BCEE30"/>
    <w:lvl w:ilvl="0" w:tplc="1DD26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176C8F"/>
    <w:multiLevelType w:val="hybridMultilevel"/>
    <w:tmpl w:val="DD78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C77FC4"/>
    <w:multiLevelType w:val="hybridMultilevel"/>
    <w:tmpl w:val="C5446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AD4816"/>
    <w:multiLevelType w:val="hybridMultilevel"/>
    <w:tmpl w:val="7AAA47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F8295F"/>
    <w:multiLevelType w:val="hybridMultilevel"/>
    <w:tmpl w:val="BE7C53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2"/>
    <w:rsid w:val="000E1157"/>
    <w:rsid w:val="00235403"/>
    <w:rsid w:val="00502A80"/>
    <w:rsid w:val="005165F9"/>
    <w:rsid w:val="005B1E3B"/>
    <w:rsid w:val="006167F9"/>
    <w:rsid w:val="006E137C"/>
    <w:rsid w:val="00727326"/>
    <w:rsid w:val="00732492"/>
    <w:rsid w:val="007338F0"/>
    <w:rsid w:val="00847F89"/>
    <w:rsid w:val="00903E45"/>
    <w:rsid w:val="00970F19"/>
    <w:rsid w:val="00A1064B"/>
    <w:rsid w:val="00AE0602"/>
    <w:rsid w:val="00B4608C"/>
    <w:rsid w:val="00B70645"/>
    <w:rsid w:val="00C27F62"/>
    <w:rsid w:val="00C409D4"/>
    <w:rsid w:val="00C50E70"/>
    <w:rsid w:val="00CE78AE"/>
    <w:rsid w:val="00D1784D"/>
    <w:rsid w:val="00D51AFA"/>
    <w:rsid w:val="00DA10B8"/>
    <w:rsid w:val="00E35C75"/>
    <w:rsid w:val="00EE74A8"/>
    <w:rsid w:val="00FD2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47F2913-7A33-417B-AAA2-DE2C1350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602"/>
  </w:style>
  <w:style w:type="paragraph" w:styleId="Footer">
    <w:name w:val="footer"/>
    <w:basedOn w:val="Normal"/>
    <w:link w:val="FooterChar"/>
    <w:uiPriority w:val="99"/>
    <w:unhideWhenUsed/>
    <w:rsid w:val="00AE0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602"/>
  </w:style>
  <w:style w:type="paragraph" w:styleId="ListParagraph">
    <w:name w:val="List Paragraph"/>
    <w:basedOn w:val="Normal"/>
    <w:uiPriority w:val="34"/>
    <w:qFormat/>
    <w:rsid w:val="000E1157"/>
    <w:pPr>
      <w:ind w:left="720"/>
      <w:contextualSpacing/>
    </w:pPr>
  </w:style>
  <w:style w:type="character" w:styleId="Hyperlink">
    <w:name w:val="Hyperlink"/>
    <w:basedOn w:val="DefaultParagraphFont"/>
    <w:uiPriority w:val="99"/>
    <w:unhideWhenUsed/>
    <w:rsid w:val="00B706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4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sthrombosiscentre.org.uk/kings/Delivering%20the%20CQUIN%20Goal_2ndEdition_LR.pdf%205"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nice.org.uk/guidance/ng89/resources/%20venous-thromboembolism-in-over-16s-reducing-the-riskof-hospitalacquired-deep-vein-thrombosis-or-pulmonaryembolism-pdf-18377030921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gn.ac.uk/assets/sign12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guidance/qs29/resources/%20venous-thromboembolism-in-adults-diagnosis-andmanagement-pdf-2098554175429" TargetMode="External"/><Relationship Id="rId4" Type="http://schemas.openxmlformats.org/officeDocument/2006/relationships/webSettings" Target="webSettings.xml"/><Relationship Id="rId9" Type="http://schemas.openxmlformats.org/officeDocument/2006/relationships/hyperlink" Target="https://www.nice.org.uk/%20guidance/cg144/resources/venous-thromboembolicdiseases-diagnosis-management-and-thrombophiliatesting-pdf-3510957083514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Pulmonary%20Embolism\Report\Implementation%20templates_PE_Dee\Commissioners%20gu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Commissioners guide template</Template>
  <TotalTime>38</TotalTime>
  <Pages>3</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Marisa Mason</cp:lastModifiedBy>
  <cp:revision>9</cp:revision>
  <dcterms:created xsi:type="dcterms:W3CDTF">2019-10-08T11:40:00Z</dcterms:created>
  <dcterms:modified xsi:type="dcterms:W3CDTF">2019-10-09T09:52:00Z</dcterms:modified>
</cp:coreProperties>
</file>